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74DFD122" w:rsidR="00A817A5" w:rsidRDefault="00FC0E4D" w:rsidP="00A817A5">
      <w:pPr>
        <w:pStyle w:val="Heading2"/>
      </w:pPr>
      <w:r>
        <w:t>Ultimate Fidget Fidgipod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5031FA98" w14:textId="20C45AD4" w:rsidR="00396DF2" w:rsidRDefault="00396DF2" w:rsidP="00396DF2">
            <w:pPr>
              <w:spacing w:after="160" w:line="259" w:lineRule="auto"/>
            </w:pPr>
            <w:r>
              <w:t>Fidget</w:t>
            </w:r>
            <w:r w:rsidRPr="00892055">
              <w:t xml:space="preserve"> tool featuring 100's of soft rubbery spiky bristles, chunky sensory spokes around the rim, and a 1" deep spider-web design on the </w:t>
            </w:r>
            <w:r>
              <w:t xml:space="preserve">non-skid </w:t>
            </w:r>
            <w:r w:rsidRPr="00892055">
              <w:t xml:space="preserve">bottom. </w:t>
            </w:r>
          </w:p>
          <w:p w14:paraId="34DC4787" w14:textId="201B3E4E" w:rsidR="00A817A5" w:rsidRDefault="00396DF2" w:rsidP="00396DF2">
            <w:pPr>
              <w:spacing w:after="160" w:line="259" w:lineRule="auto"/>
            </w:pPr>
            <w:hyperlink r:id="rId10" w:history="1">
              <w:r w:rsidRPr="00892055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8B74E51" w14:textId="213671FA" w:rsidR="00A817A5" w:rsidRDefault="002B2685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0BF4A7A" wp14:editId="05990F2D">
                  <wp:extent cx="1752600" cy="1497527"/>
                  <wp:effectExtent l="0" t="0" r="0" b="1270"/>
                  <wp:docPr id="2100147485" name="Picture 1" descr="Round rubbery disk with spiky bristles on top and spokes aroud the ri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und rubbery disk with spiky bristles on top and spokes aroud the ri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01" cy="150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3849632D" w:rsidR="00125BFD" w:rsidRDefault="00125BFD" w:rsidP="00A817A5">
            <w:pPr>
              <w:jc w:val="center"/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368EF268" w14:textId="235D0CD8" w:rsidR="00F47A61" w:rsidRPr="00881DCF" w:rsidRDefault="00125BFD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Those who s</w:t>
      </w:r>
      <w:r w:rsidRPr="00B65061">
        <w:rPr>
          <w:rFonts w:cs="Open Sans"/>
        </w:rPr>
        <w:t>eek sensory input throughout the day</w:t>
      </w:r>
      <w:r>
        <w:rPr>
          <w:rFonts w:cs="Open Sans"/>
        </w:rPr>
        <w:t>, prefer movement to focus, e</w:t>
      </w:r>
      <w:r w:rsidRPr="00B65061">
        <w:rPr>
          <w:rFonts w:cs="Open Sans"/>
        </w:rPr>
        <w:t xml:space="preserve">ngage in touching, poking, or fidgeting with items to calm themselves. </w:t>
      </w:r>
    </w:p>
    <w:p w14:paraId="24F65C2B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15B1ECAD" w:rsidR="00F47A61" w:rsidRPr="00E36279" w:rsidRDefault="00736FF1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Quiet s</w:t>
      </w:r>
      <w:r w:rsidR="00125BFD" w:rsidRPr="00B65061">
        <w:t>ensory exploration</w:t>
      </w:r>
      <w:r w:rsidR="00951B33">
        <w:t xml:space="preserve"> and</w:t>
      </w:r>
      <w:r w:rsidR="00125BFD" w:rsidRPr="00B65061">
        <w:t xml:space="preserve"> self-</w:t>
      </w:r>
      <w:r w:rsidR="002211BC">
        <w:t>calming</w:t>
      </w:r>
      <w:r w:rsidR="00125BFD" w:rsidRPr="00B65061">
        <w:t xml:space="preserve"> tool that can </w:t>
      </w:r>
      <w:r>
        <w:t>help</w:t>
      </w:r>
      <w:r w:rsidR="00125BFD" w:rsidRPr="00B65061">
        <w:t xml:space="preserve"> a child’s focus</w:t>
      </w:r>
      <w:r w:rsidR="002211BC">
        <w:t xml:space="preserve"> and</w:t>
      </w:r>
      <w:r w:rsidR="00125BFD" w:rsidRPr="00B65061">
        <w:t xml:space="preserve"> </w:t>
      </w:r>
      <w:r w:rsidR="002211BC">
        <w:t>regulation.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178F7468" w:rsidR="00125BFD" w:rsidRPr="00125BFD" w:rsidRDefault="00125BFD" w:rsidP="00125BFD">
            <w:pPr>
              <w:pStyle w:val="Heading3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  <w:sz w:val="27"/>
              </w:rPr>
            </w:pPr>
            <w:r>
              <w:rPr>
                <w:rFonts w:ascii="Avenir" w:hAnsi="Avenir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Use </w:t>
            </w:r>
            <w:r w:rsidR="00881DCF">
              <w:rPr>
                <w:rFonts w:ascii="Avenir" w:hAnsi="Avenir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in all settings </w:t>
            </w:r>
            <w:r>
              <w:rPr>
                <w:rFonts w:ascii="Avenir" w:hAnsi="Avenir"/>
                <w:b w:val="0"/>
                <w:bCs w:val="0"/>
                <w:color w:val="000000"/>
                <w:szCs w:val="24"/>
                <w:shd w:val="clear" w:color="auto" w:fill="FFFFFF"/>
              </w:rPr>
              <w:t>during large group activities, small group activities, and one-on-one instruction.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6A1677E3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etc. with a slanted surface or propped up.</w:t>
            </w:r>
          </w:p>
          <w:p w14:paraId="3AE4A77A" w14:textId="6ED2FDFE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</w:p>
          <w:p w14:paraId="3B2F40F0" w14:textId="73A01740" w:rsidR="007570AC" w:rsidRDefault="00881DCF" w:rsidP="00B72F4A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Open ended exploration</w:t>
            </w:r>
            <w:r w:rsidR="00E67F3C">
              <w:rPr>
                <w:rFonts w:ascii="Avenir" w:hAnsi="Avenir"/>
                <w:color w:val="000000"/>
              </w:rPr>
              <w:t>.</w:t>
            </w:r>
          </w:p>
          <w:p w14:paraId="17DE021B" w14:textId="68880129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2954E0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70F9CC42" w14:textId="495F756E" w:rsidR="00A65959" w:rsidRPr="00A65959" w:rsidRDefault="00A65959" w:rsidP="00A65959">
            <w:pPr>
              <w:pStyle w:val="ListParagraph"/>
              <w:numPr>
                <w:ilvl w:val="0"/>
                <w:numId w:val="5"/>
              </w:num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color w:val="000000"/>
              </w:rPr>
              <w:t>Take turns playing “I can…” game (e.g. I can poke it with my fingers).</w:t>
            </w:r>
          </w:p>
        </w:tc>
        <w:tc>
          <w:tcPr>
            <w:tcW w:w="4860" w:type="dxa"/>
          </w:tcPr>
          <w:p w14:paraId="73181DC0" w14:textId="77777777" w:rsidR="00881DCF" w:rsidRDefault="00881DCF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 It</w:t>
            </w:r>
          </w:p>
          <w:p w14:paraId="48250C23" w14:textId="78312C86" w:rsidR="00881DCF" w:rsidRPr="0032211F" w:rsidRDefault="00881DCF" w:rsidP="0032211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900AB3">
              <w:rPr>
                <w:szCs w:val="24"/>
              </w:rPr>
              <w:t xml:space="preserve">Use Velcro or </w:t>
            </w:r>
            <w:proofErr w:type="spellStart"/>
            <w:r w:rsidRPr="00900AB3">
              <w:rPr>
                <w:szCs w:val="24"/>
              </w:rPr>
              <w:t>Dycem</w:t>
            </w:r>
            <w:proofErr w:type="spellEnd"/>
            <w:r w:rsidR="0032211F">
              <w:rPr>
                <w:szCs w:val="24"/>
              </w:rPr>
              <w:t xml:space="preserve"> or add a handle</w:t>
            </w:r>
            <w:r w:rsidRPr="0032211F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504F790D" w14:textId="77777777" w:rsidR="00881DCF" w:rsidRDefault="00881DCF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13E3B580" w14:textId="59CF131D" w:rsidR="00881DCF" w:rsidRDefault="00FF079C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Store in open container alone or sensory tub with other items. </w:t>
            </w:r>
          </w:p>
          <w:p w14:paraId="79B63E89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6A35A171" w:rsidR="00881DCF" w:rsidRPr="00900AB3" w:rsidRDefault="00881DC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Label colors and shapes with print words and braille in environment.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4BADD08" w14:textId="77777777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60681C50" w14:textId="425E3C6D" w:rsidR="00E1591A" w:rsidRDefault="000644C0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Textured balls at discount or pet stores</w:t>
            </w:r>
            <w:r w:rsidR="0028657D">
              <w:rPr>
                <w:rFonts w:ascii="Avenir" w:hAnsi="Avenir"/>
                <w:color w:val="000000"/>
              </w:rPr>
              <w:t>.</w:t>
            </w:r>
          </w:p>
          <w:p w14:paraId="283D5F66" w14:textId="1E2D13D3" w:rsidR="000644C0" w:rsidRPr="00E1591A" w:rsidRDefault="0028657D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Bean bags or squeeze balls with various textures.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0B18E5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5A208448" w14:textId="77777777" w:rsidR="000B18E5" w:rsidRDefault="000B18E5" w:rsidP="000B18E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</w:p>
          <w:p w14:paraId="19C62F95" w14:textId="2C7FA629" w:rsidR="000B18E5" w:rsidRPr="0096519F" w:rsidRDefault="000B18E5" w:rsidP="000B18E5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38162ADE" wp14:editId="4577546D">
                  <wp:extent cx="1965960" cy="1474470"/>
                  <wp:effectExtent l="0" t="0" r="2540" b="0"/>
                  <wp:docPr id="783877096" name="Picture 2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77096" name="Picture 2" descr="A child with their hand on the shoulder of another chil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16C5FFA0" w:rsidR="000B18E5" w:rsidRPr="0096519F" w:rsidRDefault="000B18E5" w:rsidP="000B18E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Poke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4EC5565" wp14:editId="3994ED57">
                  <wp:extent cx="1965960" cy="1474470"/>
                  <wp:effectExtent l="0" t="0" r="2540" b="0"/>
                  <wp:docPr id="1401422872" name="Picture 8" descr="A finger poking a red block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22872" name="Picture 8" descr="A finger poking a red block.&#10;&#10;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t xml:space="preserve"> </w:t>
            </w:r>
          </w:p>
        </w:tc>
        <w:tc>
          <w:tcPr>
            <w:tcW w:w="3312" w:type="dxa"/>
          </w:tcPr>
          <w:p w14:paraId="49D64B3A" w14:textId="47C52B96" w:rsidR="000B18E5" w:rsidRPr="0096519F" w:rsidRDefault="000B18E5" w:rsidP="000B18E5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Calm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225EA0A" wp14:editId="33906597">
                  <wp:extent cx="1965960" cy="1474470"/>
                  <wp:effectExtent l="0" t="0" r="2540" b="0"/>
                  <wp:docPr id="450577879" name="Picture 3" descr="A child in a blue shirt comforting another child in a green shirt who is smil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77879" name="Picture 3" descr="A child in a blue shirt comforting another child in a green shirt who is smiling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E5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291D8B1E" w:rsidR="000B18E5" w:rsidRPr="0096519F" w:rsidRDefault="000B18E5" w:rsidP="000B18E5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Quiet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D6ED856" wp14:editId="506E3E4C">
                  <wp:extent cx="1965960" cy="1474470"/>
                  <wp:effectExtent l="0" t="0" r="2540" b="0"/>
                  <wp:docPr id="351730558" name="Picture 4" descr="Person with index finger in front of lips saying “Shh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30558" name="Picture 4" descr="Person with index finger in front of lips saying “Shh”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590C9BEA" w:rsidR="000B18E5" w:rsidRPr="0096519F" w:rsidRDefault="000B18E5" w:rsidP="000B18E5">
            <w:pPr>
              <w:jc w:val="center"/>
              <w:rPr>
                <w:noProof/>
                <w:sz w:val="32"/>
                <w:szCs w:val="28"/>
              </w:rPr>
            </w:pPr>
            <w:r w:rsidRPr="0024372D">
              <w:rPr>
                <w:b/>
                <w:bCs/>
                <w:noProof/>
                <w:sz w:val="32"/>
                <w:szCs w:val="28"/>
              </w:rPr>
              <w:t>Hand</w:t>
            </w:r>
            <w:r>
              <w:rPr>
                <w:b/>
                <w:bCs/>
                <w:noProof/>
                <w:sz w:val="32"/>
                <w:szCs w:val="28"/>
              </w:rPr>
              <w:t>s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3C635F3" wp14:editId="7610923A">
                  <wp:extent cx="1965960" cy="1474470"/>
                  <wp:effectExtent l="0" t="0" r="2540" b="0"/>
                  <wp:docPr id="2075142567" name="Picture 9" descr="Two hands, right and left next to each oth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142567" name="Picture 9" descr="Two hands, right and left next to each other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04989A60" w:rsidR="000B18E5" w:rsidRPr="0096519F" w:rsidRDefault="000B18E5" w:rsidP="000B18E5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FA0D38">
              <w:rPr>
                <w:b/>
                <w:bCs/>
                <w:noProof/>
                <w:sz w:val="32"/>
                <w:szCs w:val="28"/>
              </w:rPr>
              <w:t>Fingers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D66F89D" wp14:editId="225C9187">
                  <wp:extent cx="1965960" cy="1474470"/>
                  <wp:effectExtent l="0" t="0" r="2540" b="0"/>
                  <wp:docPr id="1316950151" name="Picture 10" descr="A close up of the fingers on a right ha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50151" name="Picture 10" descr="A close up of the fingers on a right hand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E5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5D4AEAC7" w:rsidR="000B18E5" w:rsidRPr="0096519F" w:rsidRDefault="000B18E5" w:rsidP="000B18E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E1DAAB0" wp14:editId="7329E5F8">
                  <wp:extent cx="1965960" cy="1474470"/>
                  <wp:effectExtent l="0" t="0" r="2540" b="0"/>
                  <wp:docPr id="1815197853" name="Picture 5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97853" name="Picture 5" descr="A child kneeling on his knee and another child reaching toward the kneeling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231BC904" w:rsidR="000B18E5" w:rsidRPr="0096519F" w:rsidRDefault="000B18E5" w:rsidP="000B18E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BFB5359" wp14:editId="73B986AC">
                  <wp:extent cx="1965960" cy="1409700"/>
                  <wp:effectExtent l="0" t="0" r="2540" b="0"/>
                  <wp:docPr id="560425440" name="Picture 6" descr="A black circle sitting on top of a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25440" name="Picture 6" descr="A black circle sitting on top of a black line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21"/>
                          <a:stretch/>
                        </pic:blipFill>
                        <pic:spPr bwMode="auto">
                          <a:xfrm>
                            <a:off x="0" y="0"/>
                            <a:ext cx="1965960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D88BF4C" w14:textId="07EE990D" w:rsidR="000B18E5" w:rsidRPr="0096519F" w:rsidRDefault="000B18E5" w:rsidP="000B18E5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77239C6" wp14:editId="241F47A9">
                  <wp:extent cx="1965960" cy="1228725"/>
                  <wp:effectExtent l="0" t="0" r="2540" b="3175"/>
                  <wp:docPr id="1478026173" name="Picture 7" descr="A black arrow pointing to a circle that is away from the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26173" name="Picture 7" descr="A black arrow pointing to a circle that is away from the black line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7"/>
                          <a:stretch/>
                        </pic:blipFill>
                        <pic:spPr bwMode="auto">
                          <a:xfrm>
                            <a:off x="0" y="0"/>
                            <a:ext cx="196596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2685" w14:textId="77777777" w:rsidR="008F1B6E" w:rsidRDefault="008F1B6E" w:rsidP="00BF408A">
      <w:pPr>
        <w:spacing w:after="0" w:line="240" w:lineRule="auto"/>
      </w:pPr>
      <w:r>
        <w:separator/>
      </w:r>
    </w:p>
  </w:endnote>
  <w:endnote w:type="continuationSeparator" w:id="0">
    <w:p w14:paraId="54C47381" w14:textId="77777777" w:rsidR="008F1B6E" w:rsidRDefault="008F1B6E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7B009" w14:textId="77777777" w:rsidR="008F1B6E" w:rsidRDefault="008F1B6E" w:rsidP="00BF408A">
      <w:pPr>
        <w:spacing w:after="0" w:line="240" w:lineRule="auto"/>
      </w:pPr>
      <w:r>
        <w:separator/>
      </w:r>
    </w:p>
  </w:footnote>
  <w:footnote w:type="continuationSeparator" w:id="0">
    <w:p w14:paraId="5B49B9A3" w14:textId="77777777" w:rsidR="008F1B6E" w:rsidRDefault="008F1B6E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B0F8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3080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7704"/>
    <w:rsid w:val="001D6283"/>
    <w:rsid w:val="001D7BCC"/>
    <w:rsid w:val="001E238C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54E0"/>
    <w:rsid w:val="00296616"/>
    <w:rsid w:val="002A1B69"/>
    <w:rsid w:val="002A2E27"/>
    <w:rsid w:val="002B2685"/>
    <w:rsid w:val="002B2CA2"/>
    <w:rsid w:val="002C2776"/>
    <w:rsid w:val="002C2F99"/>
    <w:rsid w:val="002D65E6"/>
    <w:rsid w:val="002E70B0"/>
    <w:rsid w:val="002F3659"/>
    <w:rsid w:val="00317082"/>
    <w:rsid w:val="0032211F"/>
    <w:rsid w:val="00335343"/>
    <w:rsid w:val="00354F99"/>
    <w:rsid w:val="00361E4B"/>
    <w:rsid w:val="00373029"/>
    <w:rsid w:val="0038052B"/>
    <w:rsid w:val="00380C9E"/>
    <w:rsid w:val="00390CB8"/>
    <w:rsid w:val="00392108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503E8"/>
    <w:rsid w:val="00461D46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6440B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307D0"/>
    <w:rsid w:val="00736FF1"/>
    <w:rsid w:val="0075053C"/>
    <w:rsid w:val="00756F32"/>
    <w:rsid w:val="007570AC"/>
    <w:rsid w:val="00760F0A"/>
    <w:rsid w:val="00764504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174F8"/>
    <w:rsid w:val="00922613"/>
    <w:rsid w:val="00926448"/>
    <w:rsid w:val="0092799B"/>
    <w:rsid w:val="00927E6A"/>
    <w:rsid w:val="00944D92"/>
    <w:rsid w:val="00951B33"/>
    <w:rsid w:val="0095213A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65959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20617"/>
    <w:rsid w:val="00B25C67"/>
    <w:rsid w:val="00B36266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2774"/>
    <w:rsid w:val="00BB75A0"/>
    <w:rsid w:val="00BD3CDC"/>
    <w:rsid w:val="00BD7E8C"/>
    <w:rsid w:val="00BE0B54"/>
    <w:rsid w:val="00BE6933"/>
    <w:rsid w:val="00BF408A"/>
    <w:rsid w:val="00C036AC"/>
    <w:rsid w:val="00C0572B"/>
    <w:rsid w:val="00C27F3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4336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591A"/>
    <w:rsid w:val="00E242AD"/>
    <w:rsid w:val="00E24E32"/>
    <w:rsid w:val="00E44CDA"/>
    <w:rsid w:val="00E64B14"/>
    <w:rsid w:val="00E65589"/>
    <w:rsid w:val="00E67F3C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0E4D"/>
    <w:rsid w:val="00FC24CB"/>
    <w:rsid w:val="00FC34F3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hoponline.pfot.com/fidgipod.html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601E7BB2-5DD0-4C6A-B7E0-189D31E698AA}"/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29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25</cp:revision>
  <cp:lastPrinted>2024-11-05T17:30:00Z</cp:lastPrinted>
  <dcterms:created xsi:type="dcterms:W3CDTF">2024-12-11T15:41:00Z</dcterms:created>
  <dcterms:modified xsi:type="dcterms:W3CDTF">2024-12-11T16:51:00Z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